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80"/>
      </w:pPr>
    </w:p>
    <w:p>
      <w:pPr>
        <w:spacing w:after="40"/>
      </w:pPr>
      <w:r>
        <w:rPr>
          <w:rFonts w:ascii="Calibri" w:hAnsi="Calibri"/>
          <w:b/>
          <w:i w:val="0"/>
          <w:color w:val="B08D57"/>
          <w:sz w:val="18"/>
        </w:rPr>
        <w:t>DEALER ADVISORY BLUEPRINT | PHASE ONE</w:t>
      </w:r>
    </w:p>
    <w:p>
      <w:pPr>
        <w:spacing w:after="80"/>
      </w:pPr>
      <w:r>
        <w:rPr>
          <w:rFonts w:ascii="Calibri" w:hAnsi="Calibri"/>
          <w:b/>
          <w:i w:val="0"/>
          <w:color w:val="18324A"/>
          <w:sz w:val="56"/>
        </w:rPr>
        <w:t>CONFIDENTIAL DEALER</w:t>
      </w:r>
    </w:p>
    <w:p>
      <w:pPr>
        <w:spacing w:after="200"/>
      </w:pPr>
      <w:r>
        <w:rPr>
          <w:rFonts w:ascii="Calibri" w:hAnsi="Calibri"/>
          <w:b/>
          <w:i w:val="0"/>
          <w:color w:val="B08D57"/>
          <w:sz w:val="44"/>
        </w:rPr>
        <w:t>PRE-ENGAGEMENT QUESTIONNAIRE</w:t>
      </w:r>
    </w:p>
    <w:p>
      <w:pPr>
        <w:spacing w:before="40" w:after="160"/>
        <w:pBdr>
          <w:bottom w:val="single" w:sz="12" w:space="1" w:color="B08D57"/>
        </w:pBdr>
      </w:pPr>
    </w:p>
    <w:p>
      <w:pPr>
        <w:spacing w:after="280"/>
      </w:pPr>
      <w:r>
        <w:rPr>
          <w:rFonts w:ascii="Calibri" w:hAnsi="Calibri"/>
          <w:b/>
          <w:i w:val="0"/>
          <w:color w:val="18324A"/>
          <w:sz w:val="26"/>
        </w:rPr>
        <w:t>Prepared for owners and dealer principals</w:t>
      </w:r>
    </w:p>
    <w:p>
      <w:pPr>
        <w:spacing w:after="400"/>
      </w:pPr>
      <w:r>
        <w:rPr>
          <w:rFonts w:ascii="Calibri" w:hAnsi="Calibri"/>
          <w:b w:val="0"/>
          <w:i w:val="0"/>
          <w:color w:val="202B33"/>
          <w:sz w:val="22"/>
        </w:rPr>
        <w:t>The purpose of this questionnaire is to give Rob Smith a clear, confidential view of your dealership before the initial on-site Executive Strategy Intensive. Exact answers are helpful; reasonable estimates are welcome where final figures are not readily available.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5F0E7"/>
            <w:tcMar>
              <w:top w:w="180" w:type="dxa"/>
              <w:start w:w="200" w:type="dxa"/>
              <w:bottom w:w="180" w:type="dxa"/>
              <w:end w:w="200" w:type="dxa"/>
            </w:tcMar>
            <w:tcBorders>
              <w:left w:val="single" w:sz="18" w:color="B08D57"/>
            </w:tcBorders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18324A"/>
                <w:sz w:val="20"/>
              </w:rPr>
              <w:t>CONFIDENTIALITY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The information provided will be treated as confidential and used solely to prepare for the advisory engagement. If a question does not apply or the information is unavailable, please indicate “N/A” or “Unknown.”</w:t>
            </w:r>
          </w:p>
        </w:tc>
      </w:tr>
    </w:tbl>
    <w:p>
      <w:pPr>
        <w:spacing w:after="24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Dealership / Dealer Group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Date Completed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Completed By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Title / Role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Best Email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Best Phone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Primary Dealership Address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spacing w:before="320"/>
        <w:jc w:val="center"/>
      </w:pPr>
      <w:r>
        <w:rPr>
          <w:rFonts w:ascii="Calibri" w:hAnsi="Calibri"/>
          <w:b/>
          <w:i w:val="0"/>
          <w:color w:val="B08D57"/>
          <w:sz w:val="22"/>
        </w:rPr>
        <w:t>EXPERIENCE YOU CAN’T GOOGLE.</w:t>
      </w:r>
    </w:p>
    <w:p>
      <w:pPr>
        <w:spacing w:after="0"/>
        <w:jc w:val="center"/>
      </w:pPr>
      <w:r>
        <w:rPr>
          <w:rFonts w:ascii="Calibri" w:hAnsi="Calibri"/>
          <w:b w:val="0"/>
          <w:i/>
          <w:color w:val="18324A"/>
          <w:sz w:val="19"/>
        </w:rPr>
        <w:t>Better Decisions. Stronger Businesses. Trusted Relationships.</w:t>
      </w:r>
    </w:p>
    <w:p>
      <w:r>
        <w:br w:type="page"/>
      </w:r>
    </w:p>
    <w:p>
      <w:pPr>
        <w:pStyle w:val="Heading1"/>
      </w:pPr>
      <w:r>
        <w:t>1. Why Are We Here?</w:t>
      </w:r>
    </w:p>
    <w:p>
      <w:pPr>
        <w:spacing w:after="140"/>
      </w:pPr>
      <w:r>
        <w:rPr>
          <w:rFonts w:ascii="Calibri" w:hAnsi="Calibri"/>
          <w:b w:val="0"/>
          <w:i/>
          <w:color w:val="66727D"/>
          <w:sz w:val="19"/>
        </w:rPr>
        <w:t>Start with the owner’s view. Brief, candid answers are more valuable than polished ones.</w:t>
      </w:r>
    </w:p>
    <w:p>
      <w:pPr>
        <w:pStyle w:val="FormLabel"/>
      </w:pPr>
      <w:r>
        <w:t>What prompted you to engage Rob Smith Advisory at this particular time?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What are the three most important outcomes you want from this engagement?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27D"/>
                <w:sz w:val="18"/>
              </w:rPr>
              <w:t xml:space="preserve">1.  </w:t>
              <w:br/>
              <w:t xml:space="preserve">2.  </w:t>
              <w:br/>
              <w:t xml:space="preserve">3.  </w:t>
            </w:r>
            <w:r>
              <w:br/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What is the single decision, problem, or opportunity that concerns you most right now?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If nothing changes during the next 12 months, what is most likely to happen?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What would make you say, six months from now, “This engagement was worth it”?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</w:pPr>
      <w:r>
        <w:t>2. Immediate Situation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Profitability pressure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Cash-flow pressure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Sales-volume decline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Inventory aging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Floorplan or lender pressure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F&amp;I performance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Fixed-operations performance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Leadership or personnel issue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Compliance or legal concern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Ownership disagreement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Acquisition opportunity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Sale, succession, or exit planning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Capital need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Growth or additional rooftops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Turnaround / crisis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Other</w:t>
            </w:r>
          </w:p>
        </w:tc>
      </w:tr>
    </w:tbl>
    <w:p>
      <w:pPr>
        <w:spacing w:after="20"/>
      </w:pPr>
    </w:p>
    <w:p>
      <w:pPr>
        <w:pStyle w:val="FormLabel"/>
      </w:pPr>
      <w:r>
        <w:t>Please explain any item above that requires immediate attention before Rob arrives.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spacing w:before="60" w:after="0"/>
      </w:pPr>
    </w:p>
    <w:p>
      <w:pPr>
        <w:pStyle w:val="Heading1"/>
      </w:pPr>
      <w:r>
        <w:t>3. Dealership and Ownership Profile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Legal Entity Name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DBA / Store Name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Franchise(s) / Brand(s)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Years Under Current Ownership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Number of Rooftops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Primary Market / DMA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Ownership Structure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Dealer Principal / Controlling Owner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List all owners and approximate ownership percentages.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Describe any ownership, family, partner, or governance issues that may affect decisions.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</w:pPr>
      <w:r>
        <w:t>4. Leadership and Decision-Making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2700"/>
        <w:gridCol w:w="1200"/>
        <w:gridCol w:w="2960"/>
      </w:tblGrid>
      <w:tr>
        <w:trPr>
          <w:tblHeader w:val="true"/>
        </w:trPr>
        <w:tc>
          <w:tcPr>
            <w:tcW w:type="dxa" w:w="250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Leader</w:t>
            </w:r>
          </w:p>
        </w:tc>
        <w:tc>
          <w:tcPr>
            <w:tcW w:type="dxa" w:w="270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Name</w:t>
            </w:r>
          </w:p>
        </w:tc>
        <w:tc>
          <w:tcPr>
            <w:tcW w:type="dxa" w:w="120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Tenure</w:t>
            </w:r>
          </w:p>
        </w:tc>
        <w:tc>
          <w:tcPr>
            <w:tcW w:type="dxa" w:w="296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Primary Responsibility</w:t>
            </w:r>
          </w:p>
        </w:tc>
      </w:tr>
      <w:tr>
        <w:tc>
          <w:tcPr>
            <w:tcW w:type="dxa" w:w="25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Dealer Principal / Owner</w:t>
            </w:r>
          </w:p>
        </w:tc>
        <w:tc>
          <w:tcPr>
            <w:tcW w:type="dxa" w:w="27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12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96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25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General Manager</w:t>
            </w:r>
          </w:p>
        </w:tc>
        <w:tc>
          <w:tcPr>
            <w:tcW w:type="dxa" w:w="27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12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96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25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General Sales Manager</w:t>
            </w:r>
          </w:p>
        </w:tc>
        <w:tc>
          <w:tcPr>
            <w:tcW w:type="dxa" w:w="27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12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96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25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Used Vehicle Manager</w:t>
            </w:r>
          </w:p>
        </w:tc>
        <w:tc>
          <w:tcPr>
            <w:tcW w:type="dxa" w:w="27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12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96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25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F&amp;I Director</w:t>
            </w:r>
          </w:p>
        </w:tc>
        <w:tc>
          <w:tcPr>
            <w:tcW w:type="dxa" w:w="27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12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96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25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Service / Fixed Ops Director</w:t>
            </w:r>
          </w:p>
        </w:tc>
        <w:tc>
          <w:tcPr>
            <w:tcW w:type="dxa" w:w="27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12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96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25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Controller / CFO</w:t>
            </w:r>
          </w:p>
        </w:tc>
        <w:tc>
          <w:tcPr>
            <w:tcW w:type="dxa" w:w="27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12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96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25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Other Key Leader</w:t>
            </w:r>
          </w:p>
        </w:tc>
        <w:tc>
          <w:tcPr>
            <w:tcW w:type="dxa" w:w="27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12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96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</w:tbl>
    <w:p>
      <w:pPr>
        <w:spacing w:after="20"/>
      </w:pPr>
    </w:p>
    <w:p>
      <w:pPr>
        <w:pStyle w:val="FormLabel"/>
      </w:pPr>
      <w:r>
        <w:t>Who has the greatest influence on major decisions besides the dealer principal?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Are there any key leaders who may resist the engagement or proposed changes? Please explain.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How are major decisions currently made, communicated, and followed through?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spacing w:before="60" w:after="0"/>
      </w:pPr>
    </w:p>
    <w:p>
      <w:pPr>
        <w:pStyle w:val="Heading1"/>
      </w:pPr>
      <w:r>
        <w:t>5. Financial Snapshot</w:t>
      </w:r>
    </w:p>
    <w:p>
      <w:pPr>
        <w:spacing w:after="140"/>
      </w:pPr>
      <w:r>
        <w:rPr>
          <w:rFonts w:ascii="Calibri" w:hAnsi="Calibri"/>
          <w:b w:val="0"/>
          <w:i/>
          <w:color w:val="66727D"/>
          <w:sz w:val="19"/>
        </w:rPr>
        <w:t>Best estimates are acceptable. Please use the most recent trailing 12 months when possible.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2020"/>
        <w:gridCol w:w="2020"/>
        <w:gridCol w:w="2020"/>
      </w:tblGrid>
      <w:tr>
        <w:trPr>
          <w:tblHeader w:val="true"/>
        </w:trPr>
        <w:tc>
          <w:tcPr>
            <w:tcW w:type="dxa" w:w="330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Measure</w:t>
            </w:r>
          </w:p>
        </w:tc>
        <w:tc>
          <w:tcPr>
            <w:tcW w:type="dxa" w:w="202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Current / TTM</w:t>
            </w:r>
          </w:p>
        </w:tc>
        <w:tc>
          <w:tcPr>
            <w:tcW w:type="dxa" w:w="202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Prior Year</w:t>
            </w:r>
          </w:p>
        </w:tc>
        <w:tc>
          <w:tcPr>
            <w:tcW w:type="dxa" w:w="202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Target / Budget</w:t>
            </w:r>
          </w:p>
        </w:tc>
      </w:tr>
      <w:tr>
        <w:tc>
          <w:tcPr>
            <w:tcW w:type="dxa" w:w="3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Total revenue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3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Total gross profit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3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Net income before tax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3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Adjusted EBITDA, if used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3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New vehicle units retailed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3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Used vehicle units retailed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3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Service and parts gross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3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Personnel expense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 / % gross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 / % gross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 / % gross</w:t>
            </w:r>
          </w:p>
        </w:tc>
      </w:tr>
      <w:tr>
        <w:tc>
          <w:tcPr>
            <w:tcW w:type="dxa" w:w="3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Advertising expense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3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Total semi-fixed / fixed expense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Current Cash on Hand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Monthly Cash Requirement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Total Floorplan Balance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Unused Floorplan Availability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Other Interest-Bearing Debt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Owner Loans / Related-Party Debt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Are any taxes, floorplan amounts, lender obligations, payables, or employee obligations past due?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Describe any lender covenants, cash sweeps, curtailments, defaults, guarantees, or liquidity concerns.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What do you believe is preventing the dealership from producing stronger cash flow or profit?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spacing w:before="60" w:after="0"/>
      </w:pPr>
    </w:p>
    <w:p>
      <w:pPr>
        <w:pStyle w:val="Heading1"/>
      </w:pPr>
      <w:r>
        <w:t>6. Variable Operations — Sales and Gross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2020"/>
        <w:gridCol w:w="2020"/>
        <w:gridCol w:w="2020"/>
      </w:tblGrid>
      <w:tr>
        <w:trPr>
          <w:tblHeader w:val="true"/>
        </w:trPr>
        <w:tc>
          <w:tcPr>
            <w:tcW w:type="dxa" w:w="330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Measure</w:t>
            </w:r>
          </w:p>
        </w:tc>
        <w:tc>
          <w:tcPr>
            <w:tcW w:type="dxa" w:w="202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New</w:t>
            </w:r>
          </w:p>
        </w:tc>
        <w:tc>
          <w:tcPr>
            <w:tcW w:type="dxa" w:w="202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Used</w:t>
            </w:r>
          </w:p>
        </w:tc>
        <w:tc>
          <w:tcPr>
            <w:tcW w:type="dxa" w:w="202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Total / Blended</w:t>
            </w:r>
          </w:p>
        </w:tc>
      </w:tr>
      <w:tr>
        <w:tc>
          <w:tcPr>
            <w:tcW w:type="dxa" w:w="3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Average monthly retail units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3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Retail units last month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3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Average front-end gross / unit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3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Average back-end gross / unit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3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Average total gross / unit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3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Internet lead close rate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</w:tr>
      <w:tr>
        <w:tc>
          <w:tcPr>
            <w:tcW w:type="dxa" w:w="3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Showroom close rate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</w:tr>
      <w:tr>
        <w:tc>
          <w:tcPr>
            <w:tcW w:type="dxa" w:w="3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Days to turn</w:t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02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3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Wholesale gain / (loss), monthly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02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Current Salesperson Count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Average Units per Salesperson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Monthly Lead Volume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Appointment Show Rate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Describe your sales process from lead or walk-in through delivery and follow-up.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Where do you believe the greatest sales or gross-profit opportunity is being missed?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What compensation plans, pay-plan concerns, or management practices should Rob understand?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</w:pPr>
      <w:r>
        <w:t>7. Inventory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500"/>
        <w:gridCol w:w="2430"/>
        <w:gridCol w:w="2430"/>
      </w:tblGrid>
      <w:tr>
        <w:trPr>
          <w:tblHeader w:val="true"/>
        </w:trPr>
        <w:tc>
          <w:tcPr>
            <w:tcW w:type="dxa" w:w="450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Inventory Measure</w:t>
            </w:r>
          </w:p>
        </w:tc>
        <w:tc>
          <w:tcPr>
            <w:tcW w:type="dxa" w:w="243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New</w:t>
            </w:r>
          </w:p>
        </w:tc>
        <w:tc>
          <w:tcPr>
            <w:tcW w:type="dxa" w:w="243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Used</w:t>
            </w:r>
          </w:p>
        </w:tc>
      </w:tr>
      <w:tr>
        <w:tc>
          <w:tcPr>
            <w:tcW w:type="dxa" w:w="45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Units in stock</w:t>
            </w:r>
          </w:p>
        </w:tc>
        <w:tc>
          <w:tcPr>
            <w:tcW w:type="dxa" w:w="24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4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45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Dollar value</w:t>
            </w:r>
          </w:p>
        </w:tc>
        <w:tc>
          <w:tcPr>
            <w:tcW w:type="dxa" w:w="24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4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45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Days’ supply</w:t>
            </w:r>
          </w:p>
        </w:tc>
        <w:tc>
          <w:tcPr>
            <w:tcW w:type="dxa" w:w="24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4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45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Units aged 61–90 days</w:t>
            </w:r>
          </w:p>
        </w:tc>
        <w:tc>
          <w:tcPr>
            <w:tcW w:type="dxa" w:w="24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4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45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Units aged over 90 days</w:t>
            </w:r>
          </w:p>
        </w:tc>
        <w:tc>
          <w:tcPr>
            <w:tcW w:type="dxa" w:w="24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4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45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Average recon cost / used unit</w:t>
            </w:r>
          </w:p>
        </w:tc>
        <w:tc>
          <w:tcPr>
            <w:tcW w:type="dxa" w:w="24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N/A</w:t>
            </w:r>
          </w:p>
        </w:tc>
        <w:tc>
          <w:tcPr>
            <w:tcW w:type="dxa" w:w="24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45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Average time in recon</w:t>
            </w:r>
          </w:p>
        </w:tc>
        <w:tc>
          <w:tcPr>
            <w:tcW w:type="dxa" w:w="24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N/A</w:t>
            </w:r>
          </w:p>
        </w:tc>
        <w:tc>
          <w:tcPr>
            <w:tcW w:type="dxa" w:w="24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days</w:t>
            </w:r>
          </w:p>
        </w:tc>
      </w:tr>
    </w:tbl>
    <w:p>
      <w:pPr>
        <w:spacing w:after="20"/>
      </w:pPr>
    </w:p>
    <w:p>
      <w:pPr>
        <w:pStyle w:val="FormLabel"/>
      </w:pPr>
      <w:r>
        <w:t>Describe any inventory acquisition, aging, appraisal, reconditioning, or wholesale problems.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spacing w:before="60" w:after="0"/>
      </w:pPr>
    </w:p>
    <w:p>
      <w:pPr>
        <w:pStyle w:val="Heading1"/>
      </w:pPr>
      <w:r>
        <w:t>8. F&amp;I, Lending, and Customer Credit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800"/>
        <w:gridCol w:w="2280"/>
        <w:gridCol w:w="2280"/>
      </w:tblGrid>
      <w:tr>
        <w:trPr>
          <w:tblHeader w:val="true"/>
        </w:trPr>
        <w:tc>
          <w:tcPr>
            <w:tcW w:type="dxa" w:w="480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Measure</w:t>
            </w:r>
          </w:p>
        </w:tc>
        <w:tc>
          <w:tcPr>
            <w:tcW w:type="dxa" w:w="228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Current</w:t>
            </w:r>
          </w:p>
        </w:tc>
        <w:tc>
          <w:tcPr>
            <w:tcW w:type="dxa" w:w="228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Target / Benchmark</w:t>
            </w:r>
          </w:p>
        </w:tc>
      </w:tr>
      <w:tr>
        <w:tc>
          <w:tcPr>
            <w:tcW w:type="dxa" w:w="48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F&amp;I gross per retail unit</w:t>
            </w:r>
          </w:p>
        </w:tc>
        <w:tc>
          <w:tcPr>
            <w:tcW w:type="dxa" w:w="228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28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48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Service contract penetration</w:t>
            </w:r>
          </w:p>
        </w:tc>
        <w:tc>
          <w:tcPr>
            <w:tcW w:type="dxa" w:w="228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  <w:tc>
          <w:tcPr>
            <w:tcW w:type="dxa" w:w="228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</w:tr>
      <w:tr>
        <w:tc>
          <w:tcPr>
            <w:tcW w:type="dxa" w:w="48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GAP penetration</w:t>
            </w:r>
          </w:p>
        </w:tc>
        <w:tc>
          <w:tcPr>
            <w:tcW w:type="dxa" w:w="228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  <w:tc>
          <w:tcPr>
            <w:tcW w:type="dxa" w:w="228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</w:tr>
      <w:tr>
        <w:tc>
          <w:tcPr>
            <w:tcW w:type="dxa" w:w="48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Products per retail deal</w:t>
            </w:r>
          </w:p>
        </w:tc>
        <w:tc>
          <w:tcPr>
            <w:tcW w:type="dxa" w:w="228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28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  <w:tr>
        <w:tc>
          <w:tcPr>
            <w:tcW w:type="dxa" w:w="48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Finance penetration</w:t>
            </w:r>
          </w:p>
        </w:tc>
        <w:tc>
          <w:tcPr>
            <w:tcW w:type="dxa" w:w="228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  <w:tc>
          <w:tcPr>
            <w:tcW w:type="dxa" w:w="228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</w:tr>
      <w:tr>
        <w:tc>
          <w:tcPr>
            <w:tcW w:type="dxa" w:w="48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Average approval rate</w:t>
            </w:r>
          </w:p>
        </w:tc>
        <w:tc>
          <w:tcPr>
            <w:tcW w:type="dxa" w:w="228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  <w:tc>
          <w:tcPr>
            <w:tcW w:type="dxa" w:w="228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</w:tr>
      <w:tr>
        <w:tc>
          <w:tcPr>
            <w:tcW w:type="dxa" w:w="48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Average lender reserve</w:t>
            </w:r>
          </w:p>
        </w:tc>
        <w:tc>
          <w:tcPr>
            <w:tcW w:type="dxa" w:w="228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28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48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Monthly chargebacks</w:t>
            </w:r>
          </w:p>
        </w:tc>
        <w:tc>
          <w:tcPr>
            <w:tcW w:type="dxa" w:w="228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28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48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Contracts in transit — average days</w:t>
            </w:r>
          </w:p>
        </w:tc>
        <w:tc>
          <w:tcPr>
            <w:tcW w:type="dxa" w:w="228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28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</w:tr>
    </w:tbl>
    <w:p>
      <w:pPr>
        <w:spacing w:after="20"/>
      </w:pPr>
    </w:p>
    <w:p>
      <w:pPr>
        <w:pStyle w:val="FormLabel"/>
      </w:pPr>
      <w:r>
        <w:t>List your five most important lending relationships and approximate share of financed business.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66727D"/>
                <w:sz w:val="18"/>
              </w:rPr>
              <w:t xml:space="preserve">1.  </w:t>
              <w:br/>
              <w:t xml:space="preserve">2.  </w:t>
              <w:br/>
              <w:t xml:space="preserve">3.  </w:t>
              <w:br/>
              <w:t xml:space="preserve">4.  </w:t>
              <w:br/>
              <w:t xml:space="preserve">5.  </w:t>
            </w:r>
            <w:r>
              <w:br/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Prime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Near-prime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Subprime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Deep subprime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Lease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Credit union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Captive finance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Indirect bank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In-house / BHPH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Other</w:t>
            </w:r>
          </w:p>
        </w:tc>
      </w:tr>
    </w:tbl>
    <w:p>
      <w:pPr>
        <w:spacing w:after="20"/>
      </w:pPr>
    </w:p>
    <w:p>
      <w:pPr>
        <w:pStyle w:val="FormLabel"/>
      </w:pPr>
      <w:r>
        <w:t>Describe any funding delays, lender concentration, repurchase exposure, chargeback issues, or credit gaps.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Are you currently retaining, purchasing, servicing, or selling any retail installment contracts? Explain.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Where do you believe F&amp;I is leaving money—or creating unnecessary risk—on the table?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spacing w:before="60" w:after="0"/>
      </w:pPr>
    </w:p>
    <w:p>
      <w:pPr>
        <w:pStyle w:val="Heading1"/>
      </w:pPr>
      <w:r>
        <w:t>9. Fixed Operations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300"/>
        <w:gridCol w:w="2530"/>
        <w:gridCol w:w="2530"/>
      </w:tblGrid>
      <w:tr>
        <w:trPr>
          <w:tblHeader w:val="true"/>
        </w:trPr>
        <w:tc>
          <w:tcPr>
            <w:tcW w:type="dxa" w:w="430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Measure</w:t>
            </w:r>
          </w:p>
        </w:tc>
        <w:tc>
          <w:tcPr>
            <w:tcW w:type="dxa" w:w="253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Service</w:t>
            </w:r>
          </w:p>
        </w:tc>
        <w:tc>
          <w:tcPr>
            <w:tcW w:type="dxa" w:w="2530"/>
            <w:shd w:fill="18324A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Parts / Combined</w:t>
            </w:r>
          </w:p>
        </w:tc>
      </w:tr>
      <w:tr>
        <w:tc>
          <w:tcPr>
            <w:tcW w:type="dxa" w:w="4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Monthly gross profit</w:t>
            </w:r>
          </w:p>
        </w:tc>
        <w:tc>
          <w:tcPr>
            <w:tcW w:type="dxa" w:w="25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5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4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Gross margin</w:t>
            </w:r>
          </w:p>
        </w:tc>
        <w:tc>
          <w:tcPr>
            <w:tcW w:type="dxa" w:w="25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  <w:tc>
          <w:tcPr>
            <w:tcW w:type="dxa" w:w="25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</w:tr>
      <w:tr>
        <w:tc>
          <w:tcPr>
            <w:tcW w:type="dxa" w:w="4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Customer-pay repair orders / month</w:t>
            </w:r>
          </w:p>
        </w:tc>
        <w:tc>
          <w:tcPr>
            <w:tcW w:type="dxa" w:w="25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5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N/A</w:t>
            </w:r>
          </w:p>
        </w:tc>
      </w:tr>
      <w:tr>
        <w:tc>
          <w:tcPr>
            <w:tcW w:type="dxa" w:w="4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Effective labor rate</w:t>
            </w:r>
          </w:p>
        </w:tc>
        <w:tc>
          <w:tcPr>
            <w:tcW w:type="dxa" w:w="25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  <w:tc>
          <w:tcPr>
            <w:tcW w:type="dxa" w:w="25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N/A</w:t>
            </w:r>
          </w:p>
        </w:tc>
      </w:tr>
      <w:tr>
        <w:tc>
          <w:tcPr>
            <w:tcW w:type="dxa" w:w="4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Technician count / open positions</w:t>
            </w:r>
          </w:p>
        </w:tc>
        <w:tc>
          <w:tcPr>
            <w:tcW w:type="dxa" w:w="25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</w:r>
          </w:p>
        </w:tc>
        <w:tc>
          <w:tcPr>
            <w:tcW w:type="dxa" w:w="25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N/A</w:t>
            </w:r>
          </w:p>
        </w:tc>
      </w:tr>
      <w:tr>
        <w:tc>
          <w:tcPr>
            <w:tcW w:type="dxa" w:w="4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Technician productivity</w:t>
            </w:r>
          </w:p>
        </w:tc>
        <w:tc>
          <w:tcPr>
            <w:tcW w:type="dxa" w:w="25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  <w:tc>
          <w:tcPr>
            <w:tcW w:type="dxa" w:w="25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N/A</w:t>
            </w:r>
          </w:p>
        </w:tc>
      </w:tr>
      <w:tr>
        <w:tc>
          <w:tcPr>
            <w:tcW w:type="dxa" w:w="4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Technician proficiency / efficiency</w:t>
            </w:r>
          </w:p>
        </w:tc>
        <w:tc>
          <w:tcPr>
            <w:tcW w:type="dxa" w:w="25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  <w:tc>
          <w:tcPr>
            <w:tcW w:type="dxa" w:w="25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N/A</w:t>
            </w:r>
          </w:p>
        </w:tc>
      </w:tr>
      <w:tr>
        <w:tc>
          <w:tcPr>
            <w:tcW w:type="dxa" w:w="4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Service absorption</w:t>
            </w:r>
          </w:p>
        </w:tc>
        <w:tc>
          <w:tcPr>
            <w:tcW w:type="dxa" w:w="25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  <w:tc>
          <w:tcPr>
            <w:tcW w:type="dxa" w:w="25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%</w:t>
            </w:r>
          </w:p>
        </w:tc>
      </w:tr>
      <w:tr>
        <w:tc>
          <w:tcPr>
            <w:tcW w:type="dxa" w:w="430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Parts inventory value</w:t>
            </w:r>
          </w:p>
        </w:tc>
        <w:tc>
          <w:tcPr>
            <w:tcW w:type="dxa" w:w="25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N/A</w:t>
            </w:r>
          </w:p>
        </w:tc>
        <w:tc>
          <w:tcPr>
            <w:tcW w:type="dxa" w:w="2530"/>
            <w:shd w:fill="F2F4F6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</w:t>
            </w:r>
          </w:p>
        </w:tc>
      </w:tr>
      <w:tr>
        <w:tc>
          <w:tcPr>
            <w:tcW w:type="dxa" w:w="430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i w:val="0"/>
                <w:color w:val="202B33"/>
                <w:sz w:val="17"/>
              </w:rPr>
              <w:t>Parts obsolescence</w:t>
            </w:r>
          </w:p>
        </w:tc>
        <w:tc>
          <w:tcPr>
            <w:tcW w:type="dxa" w:w="25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N/A</w:t>
            </w:r>
          </w:p>
        </w:tc>
        <w:tc>
          <w:tcPr>
            <w:tcW w:type="dxa" w:w="2530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3" w:color="CBD3D9"/>
              <w:left w:val="single" w:sz="3" w:color="CBD3D9"/>
              <w:bottom w:val="single" w:sz="3" w:color="CBD3D9"/>
              <w:right w:val="single" w:sz="3" w:color="CBD3D9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202B33"/>
                <w:sz w:val="17"/>
              </w:rPr>
              <w:t>$ / %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Average Days to Appointment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Average Customer-Pay RO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Open Repair Orders Over 10 Days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Comeback Rate, if Tracked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Describe the greatest constraint in fixed operations: people, capacity, process, pricing, retention, or demand.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What fixed-operations opportunity do you believe is currently being missed?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Describe any warranty, manufacturer, technician-pay, parts, or customer-service concern Rob should know.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spacing w:before="60" w:after="0"/>
      </w:pPr>
    </w:p>
    <w:p>
      <w:pPr>
        <w:pStyle w:val="Heading1"/>
      </w:pPr>
      <w:r>
        <w:t>10. People, Culture, and Accountability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Total Employee Count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Annualized Turnover, if Known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Open Critical Positions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Longest-Tenured Key Employee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Who are your strongest leaders, and why?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Where is accountability weakest?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Are there any personnel, conduct, performance, compensation, or succession matters that require discretion?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How would employees describe the culture? How would you describe it?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</w:pPr>
      <w:r>
        <w:t>11. Systems, Reporting, and Operating Rhythm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Daily operating report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Monthly financial review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Department forecasts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Weekly manager meeting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Written KPIs / scorecards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CRM accountability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Inventory aging review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Cash-flow forecast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Formal annual budget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Documented processes / SOPs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Dealer Management System (DMS)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CRM / Lead Management System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Inventory / Appraisal Tools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Accounting / Reporting Tools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Which reports do you rely on most? Which reports are inaccurate, late, or not trusted?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Where do commitments or action items most often break down?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spacing w:before="60" w:after="0"/>
      </w:pPr>
    </w:p>
    <w:p>
      <w:pPr>
        <w:pStyle w:val="Heading1"/>
      </w:pPr>
      <w:r>
        <w:t>12. Compliance, Legal, and Reputation</w:t>
      </w:r>
    </w:p>
    <w:p>
      <w:pPr>
        <w:spacing w:after="120"/>
      </w:pPr>
      <w:r>
        <w:rPr>
          <w:rFonts w:ascii="Calibri" w:hAnsi="Calibri"/>
          <w:b w:val="0"/>
          <w:i/>
          <w:color w:val="8A2E2E"/>
          <w:sz w:val="18"/>
        </w:rPr>
        <w:t>This section is intended to identify areas requiring preparation or specialized counsel. Rob Smith Advisory does not provide legal, tax, or accounting advice.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Open or threatened litigation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Regulatory inquiry or audit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Consumer complaint pattern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Advertising concern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F&amp;I disclosure concern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Fair-lending concern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Privacy / cybersecurity incident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Sales-tax or title issue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Warranty claim exposure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Environmental concern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Manufacturer dispute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Employee claim or investigation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Floorplan audit issue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Reputation / media concern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None known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Other</w:t>
            </w:r>
          </w:p>
        </w:tc>
      </w:tr>
    </w:tbl>
    <w:p>
      <w:pPr>
        <w:spacing w:after="20"/>
      </w:pPr>
    </w:p>
    <w:p>
      <w:pPr>
        <w:pStyle w:val="FormLabel"/>
      </w:pPr>
      <w:r>
        <w:t>Describe any checked item, including timing, parties involved, and current status.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Are there any matters that should be discussed privately with the dealer principal rather than management?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</w:pPr>
      <w:r>
        <w:t>13. Manufacturer and Market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Current Manufacturer Standing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CSI / SSI Standing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Describe any facility requirement, stair-step program, allocation issue, performance notice, or manufacturer pressure.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Who are your strongest competitors, and what are they doing better?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What market, demographic, technology, or competitive change concerns you most?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spacing w:before="60" w:after="0"/>
      </w:pPr>
    </w:p>
    <w:p>
      <w:pPr>
        <w:pStyle w:val="Heading1"/>
      </w:pPr>
      <w:r>
        <w:t>14. Growth, Capital, Succession, and Strategic Options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Improve current-store profitability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Add another franchise / rooftop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Acquire an independent dealership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Acquire receivables / finance portfolio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Build or expand in-house finance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Raise debt or equity capital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Refinance existing obligations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Bring in a partner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Buy out a partner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Prepare for sale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Family succession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Management succession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Real-estate strategy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No major transaction currently planned</w:t>
            </w:r>
          </w:p>
        </w:tc>
      </w:tr>
      <w:tr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Other</w:t>
            </w:r>
          </w:p>
        </w:tc>
        <w:tc>
          <w:tcPr>
            <w:tcW w:type="dxa" w:w="468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pPr>
        <w:pStyle w:val="FormLabel"/>
      </w:pPr>
      <w:r>
        <w:t>Describe any acquisition, sale, refinancing, capital raise, ownership change, or succession under consideration.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What is your preferred outcome for the dealership over the next three to five years?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What could prevent that outcome?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What decision have you been postponing?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</w:pPr>
      <w:r>
        <w:t>15. The Candid Owner’s Perspective</w:t>
      </w:r>
    </w:p>
    <w:p>
      <w:pPr>
        <w:pStyle w:val="FormLabel"/>
      </w:pPr>
      <w:r>
        <w:t>What do you know needs to change but have been unwilling or unable to change?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What are you most proud of in the business?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What is the one thing you have not told anyone else about the business that Rob should know?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spacing w:before="60" w:after="0"/>
      </w:pPr>
    </w:p>
    <w:p>
      <w:pPr>
        <w:pStyle w:val="Heading1"/>
      </w:pPr>
      <w:r>
        <w:t>16. Information to Provide Before the Visit</w:t>
      </w:r>
    </w:p>
    <w:p>
      <w:pPr>
        <w:spacing w:after="140"/>
      </w:pPr>
      <w:r>
        <w:rPr>
          <w:rFonts w:ascii="Calibri" w:hAnsi="Calibri"/>
          <w:b w:val="0"/>
          <w:i/>
          <w:color w:val="66727D"/>
          <w:sz w:val="19"/>
        </w:rPr>
        <w:t>Please provide what is readily available. Do not delay the questionnaire while waiting for every item.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Last 24 months of dealership financial statements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Current month-to-date financial statement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Most recent year-end financial statement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Current balance sheet and cash position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Current new and used inventory aging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Current floorplan statement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Sales and gross recap — last 12 months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F&amp;I production report — last 6–12 months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Fixed-operations statement / composite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Organization chart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Department manager pay plans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Current annual budget or forecast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Open lender covenant / default correspondence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Manufacturer performance correspondence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Any report the dealer principal considers essential</w:t>
            </w:r>
          </w:p>
        </w:tc>
      </w:tr>
      <w:tr>
        <w:tc>
          <w:tcPr>
            <w:tcW w:type="dxa" w:w="9360"/>
            <w:tcMar>
              <w:top w:w="50" w:type="dxa"/>
              <w:start w:w="120" w:type="dxa"/>
              <w:bottom w:w="50" w:type="dxa"/>
              <w:end w:w="120" w:type="dxa"/>
            </w:tcMar>
            <w:tcBorders>
              <w:bottom w:val="single" w:sz="2" w:color="E2E6E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19"/>
              </w:rPr>
              <w:t>[ ] Other relevant information</w:t>
            </w:r>
          </w:p>
        </w:tc>
      </w:tr>
    </w:tbl>
    <w:p>
      <w:pPr>
        <w:spacing w:after="20"/>
      </w:pPr>
    </w:p>
    <w:p>
      <w:pPr>
        <w:pStyle w:val="FormLabel"/>
      </w:pPr>
      <w:r>
        <w:t>List any requested item that will not be available before the visit.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List anyone Rob should speak with before or during the visit, and why.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List anyone who should not be included in certain discussions, and why.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17. Final Preparation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Preferred Visit Date(s)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Expected Participants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Are there any scheduling, security, confidentiality, dress, travel, or facility considerations?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pStyle w:val="FormLabel"/>
      </w:pPr>
      <w:r>
        <w:t>What else should Rob know before walking through the door?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02B33"/>
                <w:sz w:val="20"/>
              </w:rPr>
              <w:t xml:space="preserve"> </w:t>
            </w:r>
            <w:r>
              <w:br/>
              <w:t xml:space="preserve"> </w:t>
            </w:r>
            <w:r>
              <w:br/>
              <w:t xml:space="preserve"> </w:t>
            </w:r>
          </w:p>
        </w:tc>
      </w:tr>
    </w:tbl>
    <w:p>
      <w:pPr>
        <w:spacing w:after="20"/>
      </w:pPr>
    </w:p>
    <w:p>
      <w:pPr>
        <w:spacing w:before="160" w:after="100"/>
      </w:pPr>
      <w:r>
        <w:rPr>
          <w:rFonts w:ascii="Calibri" w:hAnsi="Calibri"/>
          <w:b/>
          <w:i w:val="0"/>
          <w:color w:val="18324A"/>
          <w:sz w:val="21"/>
        </w:rPr>
        <w:t>Acknowledgment</w:t>
      </w:r>
    </w:p>
    <w:p>
      <w:pPr>
        <w:spacing w:after="160"/>
      </w:pPr>
      <w:r>
        <w:rPr>
          <w:rFonts w:ascii="Calibri" w:hAnsi="Calibri"/>
          <w:b w:val="0"/>
          <w:i w:val="0"/>
          <w:color w:val="202B33"/>
          <w:sz w:val="18"/>
        </w:rPr>
        <w:t>I understand that this questionnaire is designed to prepare Rob Smith Advisory for an initial advisory engagement and is not an audit, valuation, legal opinion, tax opinion, or assurance engagement.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Name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Title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Signature</w:t>
            </w:r>
          </w:p>
        </w:tc>
        <w:tc>
          <w:tcPr>
            <w:tcW w:type="dxa" w:w="4680"/>
            <w:shd w:fill="FFFFFF"/>
            <w:tcMar>
              <w:top w:w="20" w:type="dxa"/>
              <w:start w:w="120" w:type="dxa"/>
              <w:bottom w:w="30" w:type="dxa"/>
              <w:end w:w="120" w:type="dxa"/>
            </w:tcMar>
          </w:tcPr>
          <w:p>
            <w:pPr>
              <w:pStyle w:val="FormLabel"/>
              <w:spacing w:after="0"/>
            </w:pPr>
            <w:r>
              <w:t>Date</w:t>
            </w:r>
          </w:p>
        </w:tc>
      </w:tr>
      <w:tr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  <w:tc>
          <w:tcPr>
            <w:tcW w:type="dxa" w:w="4680"/>
            <w:shd w:fill="EAF0F4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CBD3D9"/>
              <w:left w:val="single" w:sz="4" w:color="CBD3D9"/>
              <w:bottom w:val="single" w:sz="4" w:color="CBD3D9"/>
              <w:right w:val="single" w:sz="4" w:color="CBD3D9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6727D"/>
                <w:sz w:val="18"/>
              </w:rPr>
              <w:t xml:space="preserve"> </w:t>
            </w:r>
          </w:p>
        </w:tc>
      </w:tr>
    </w:tbl>
    <w:p>
      <w:pPr>
        <w:spacing w:after="20"/>
      </w:pPr>
    </w:p>
    <w:p>
      <w:pPr>
        <w:spacing w:before="240"/>
        <w:jc w:val="center"/>
      </w:pPr>
      <w:r>
        <w:rPr>
          <w:rFonts w:ascii="Calibri" w:hAnsi="Calibri"/>
          <w:b/>
          <w:i w:val="0"/>
          <w:color w:val="B08D57"/>
          <w:sz w:val="20"/>
        </w:rPr>
        <w:t>Thank you for your candor. It allows us to make the first conversation count.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267" w:bottom="1037" w:left="1267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</w:pPr>
    <w:r>
      <w:rPr>
        <w:rFonts w:ascii="Calibri" w:hAnsi="Calibri"/>
        <w:b w:val="0"/>
        <w:i w:val="0"/>
        <w:color w:val="66727D"/>
        <w:sz w:val="16"/>
      </w:rPr>
      <w:t xml:space="preserve">CONFIDENTIAL  |  Rob Smith Advisory  |  </w:t>
    </w:r>
    <w:r>
      <w:rPr>
        <w:rFonts w:ascii="Calibri" w:hAnsi="Calibri"/>
        <w:b w:val="0"/>
        <w:i w:val="0"/>
        <w:color w:val="66727D"/>
        <w:sz w:val="16"/>
      </w:rPr>
      <w:t xml:space="preserve">Page </w:t>
    </w:r>
    <w:r>
      <w:rPr>
        <w:rFonts w:ascii="Calibri" w:hAnsi="Calibri"/>
        <w:b w:val="0"/>
        <w:i w:val="0"/>
        <w:color w:val="66727D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18324A"/>
        <w:sz w:val="18"/>
      </w:rPr>
      <w:t>ROB SMITH ADVISORY</w:t>
    </w:r>
    <w:r>
      <w:rPr>
        <w:rFonts w:ascii="Calibri" w:hAnsi="Calibri"/>
        <w:b w:val="0"/>
        <w:i w:val="0"/>
        <w:color w:val="66727D"/>
        <w:sz w:val="17"/>
      </w:rPr>
      <w:t xml:space="preserve">  |  CONFIDENTIAL DEALER QUESTIONNAIRE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Calibri" w:hAnsi="Calibri"/>
      <w:color w:val="202B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832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8324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B08D5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pPr>
      <w:spacing w:after="40"/>
    </w:pPr>
    <w:rPr>
      <w:rFonts w:ascii="Calibri" w:hAnsi="Calibri"/>
      <w:b/>
      <w:color w:val="18324A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 Dealer Pre-Engagement Questionnaire</dc:title>
  <dc:subject>Rob Smith Advisory Dealer Advisory Blueprint</dc:subject>
  <dc:creator>Rob Smith Advisory</dc:creator>
  <cp:keywords>dealer advisory, dealership assessment, confidential questionnaire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